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D2587" w14:textId="77777777" w:rsidR="009F39A2" w:rsidRPr="00341E9A" w:rsidRDefault="009F39A2" w:rsidP="009F39A2">
      <w:pPr>
        <w:rPr>
          <w:rFonts w:ascii="Calibri" w:hAnsi="Calibri" w:cs="Calibri"/>
          <w:b/>
          <w:sz w:val="36"/>
          <w:szCs w:val="36"/>
        </w:rPr>
      </w:pPr>
      <w:r w:rsidRPr="00341E9A">
        <w:rPr>
          <w:rFonts w:ascii="Calibri" w:hAnsi="Calibri" w:cs="Calibri"/>
          <w:b/>
          <w:sz w:val="36"/>
          <w:szCs w:val="36"/>
        </w:rPr>
        <w:t>THE HISTORY OF ISRAEL LESSON 17</w:t>
      </w:r>
    </w:p>
    <w:p w14:paraId="0725691D" w14:textId="77777777" w:rsidR="009F39A2" w:rsidRPr="00341E9A" w:rsidRDefault="009F39A2" w:rsidP="009F39A2">
      <w:pPr>
        <w:rPr>
          <w:rFonts w:ascii="Calibri" w:hAnsi="Calibri" w:cs="Calibri"/>
          <w:sz w:val="24"/>
          <w:szCs w:val="24"/>
        </w:rPr>
      </w:pPr>
    </w:p>
    <w:p w14:paraId="413E326F" w14:textId="77777777" w:rsidR="009F39A2" w:rsidRPr="00341E9A" w:rsidRDefault="009F39A2" w:rsidP="009F39A2">
      <w:pPr>
        <w:rPr>
          <w:rFonts w:ascii="Calibri" w:hAnsi="Calibri" w:cs="Calibri"/>
          <w:b/>
          <w:u w:val="single"/>
        </w:rPr>
      </w:pPr>
      <w:r w:rsidRPr="00341E9A">
        <w:rPr>
          <w:rFonts w:ascii="Calibri" w:hAnsi="Calibri" w:cs="Calibri"/>
          <w:b/>
          <w:u w:val="single"/>
        </w:rPr>
        <w:t xml:space="preserve">DAY ONE </w:t>
      </w:r>
    </w:p>
    <w:p w14:paraId="0A21AF4F" w14:textId="77777777" w:rsidR="009F39A2" w:rsidRPr="00877D67" w:rsidRDefault="009F39A2" w:rsidP="009F39A2">
      <w:pPr>
        <w:keepNext/>
      </w:pPr>
      <w:r w:rsidRPr="009B452A">
        <w:rPr>
          <w:rFonts w:ascii="Calibri" w:hAnsi="Calibri"/>
        </w:rPr>
        <w:t>Read 2 Kings 15-17 and Hosea 1:1-2</w:t>
      </w:r>
    </w:p>
    <w:p w14:paraId="494F1B27" w14:textId="77777777" w:rsidR="009F39A2" w:rsidRDefault="009F39A2" w:rsidP="009F39A2">
      <w:pPr>
        <w:rPr>
          <w:rFonts w:ascii="Calibri" w:hAnsi="Calibri"/>
          <w:sz w:val="24"/>
          <w:szCs w:val="24"/>
        </w:rPr>
      </w:pPr>
    </w:p>
    <w:p w14:paraId="7AD17C82" w14:textId="77777777" w:rsidR="009F39A2" w:rsidRPr="00341E9A" w:rsidRDefault="009F39A2" w:rsidP="00284D7F">
      <w:pPr>
        <w:spacing w:after="60"/>
        <w:rPr>
          <w:rFonts w:ascii="Calibri" w:hAnsi="Calibri"/>
          <w:sz w:val="24"/>
          <w:szCs w:val="24"/>
        </w:rPr>
      </w:pPr>
      <w:r w:rsidRPr="00341E9A">
        <w:rPr>
          <w:rFonts w:ascii="Calibri" w:hAnsi="Calibri"/>
          <w:sz w:val="24"/>
          <w:szCs w:val="24"/>
        </w:rPr>
        <w:t xml:space="preserve">1.  List the kings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F39A2" w14:paraId="436B33D7" w14:textId="77777777" w:rsidTr="00284D7F">
        <w:tc>
          <w:tcPr>
            <w:tcW w:w="2337" w:type="dxa"/>
          </w:tcPr>
          <w:p w14:paraId="179A5C4D" w14:textId="11805578" w:rsidR="009F39A2" w:rsidRDefault="009F39A2" w:rsidP="009F39A2">
            <w:pPr>
              <w:spacing w:after="120"/>
              <w:jc w:val="center"/>
              <w:rPr>
                <w:rFonts w:ascii="Calibri" w:hAnsi="Calibri"/>
                <w:sz w:val="24"/>
                <w:szCs w:val="24"/>
                <w:u w:val="single"/>
              </w:rPr>
            </w:pPr>
            <w:r w:rsidRPr="00341E9A">
              <w:rPr>
                <w:rFonts w:ascii="Calibri" w:hAnsi="Calibri"/>
                <w:sz w:val="24"/>
                <w:szCs w:val="24"/>
                <w:u w:val="single"/>
              </w:rPr>
              <w:t>ISRAEL</w:t>
            </w:r>
          </w:p>
        </w:tc>
        <w:tc>
          <w:tcPr>
            <w:tcW w:w="2337" w:type="dxa"/>
          </w:tcPr>
          <w:p w14:paraId="17D3A3E8" w14:textId="1AA14D7F" w:rsidR="009F39A2" w:rsidRDefault="009F39A2" w:rsidP="009F39A2">
            <w:pPr>
              <w:spacing w:after="120"/>
              <w:jc w:val="center"/>
              <w:rPr>
                <w:rFonts w:ascii="Calibri" w:hAnsi="Calibri"/>
                <w:sz w:val="24"/>
                <w:szCs w:val="24"/>
                <w:u w:val="single"/>
              </w:rPr>
            </w:pPr>
            <w:r w:rsidRPr="00341E9A">
              <w:rPr>
                <w:rFonts w:ascii="Calibri" w:hAnsi="Calibri"/>
                <w:sz w:val="24"/>
                <w:szCs w:val="24"/>
                <w:u w:val="single"/>
              </w:rPr>
              <w:t>HOW THEY DIED</w:t>
            </w:r>
          </w:p>
        </w:tc>
        <w:tc>
          <w:tcPr>
            <w:tcW w:w="2338" w:type="dxa"/>
          </w:tcPr>
          <w:p w14:paraId="2D43BC05" w14:textId="09D4AB8E" w:rsidR="009F39A2" w:rsidRDefault="009F39A2" w:rsidP="009F39A2">
            <w:pPr>
              <w:spacing w:after="120"/>
              <w:jc w:val="center"/>
              <w:rPr>
                <w:rFonts w:ascii="Calibri" w:hAnsi="Calibri"/>
                <w:sz w:val="24"/>
                <w:szCs w:val="24"/>
                <w:u w:val="single"/>
              </w:rPr>
            </w:pPr>
            <w:r w:rsidRPr="00341E9A">
              <w:rPr>
                <w:rFonts w:ascii="Calibri" w:hAnsi="Calibri"/>
                <w:sz w:val="24"/>
                <w:szCs w:val="24"/>
                <w:u w:val="single"/>
              </w:rPr>
              <w:t>JUDAH</w:t>
            </w:r>
          </w:p>
        </w:tc>
        <w:tc>
          <w:tcPr>
            <w:tcW w:w="2338" w:type="dxa"/>
          </w:tcPr>
          <w:p w14:paraId="1A90E343" w14:textId="42F198AE" w:rsidR="009F39A2" w:rsidRDefault="009F39A2" w:rsidP="009F39A2">
            <w:pPr>
              <w:spacing w:after="120"/>
              <w:jc w:val="center"/>
              <w:rPr>
                <w:rFonts w:ascii="Calibri" w:hAnsi="Calibri"/>
                <w:sz w:val="24"/>
                <w:szCs w:val="24"/>
                <w:u w:val="single"/>
              </w:rPr>
            </w:pPr>
            <w:r w:rsidRPr="00341E9A">
              <w:rPr>
                <w:rFonts w:ascii="Calibri" w:hAnsi="Calibri"/>
                <w:sz w:val="24"/>
                <w:szCs w:val="24"/>
                <w:u w:val="single"/>
              </w:rPr>
              <w:t>HOW THEY DIED</w:t>
            </w:r>
          </w:p>
        </w:tc>
      </w:tr>
      <w:tr w:rsidR="009F39A2" w14:paraId="4FB46901" w14:textId="77777777" w:rsidTr="00284D7F">
        <w:tc>
          <w:tcPr>
            <w:tcW w:w="2337" w:type="dxa"/>
          </w:tcPr>
          <w:p w14:paraId="02B0A948" w14:textId="16AF46EC"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7" w:type="dxa"/>
            <w:tcBorders>
              <w:right w:val="single" w:sz="4" w:space="0" w:color="auto"/>
            </w:tcBorders>
          </w:tcPr>
          <w:p w14:paraId="4E5AF164" w14:textId="3CCE8800"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Borders>
              <w:left w:val="single" w:sz="4" w:space="0" w:color="auto"/>
            </w:tcBorders>
          </w:tcPr>
          <w:p w14:paraId="11EB790D" w14:textId="5A4433E7"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118FAB89" w14:textId="0587FED6"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r w:rsidR="009F39A2" w14:paraId="262021C5" w14:textId="77777777" w:rsidTr="00284D7F">
        <w:tc>
          <w:tcPr>
            <w:tcW w:w="2337" w:type="dxa"/>
          </w:tcPr>
          <w:p w14:paraId="572D3B15" w14:textId="2BECD315"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7" w:type="dxa"/>
            <w:tcBorders>
              <w:right w:val="single" w:sz="4" w:space="0" w:color="auto"/>
            </w:tcBorders>
          </w:tcPr>
          <w:p w14:paraId="7D4067CC" w14:textId="376A8773"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Borders>
              <w:left w:val="single" w:sz="4" w:space="0" w:color="auto"/>
            </w:tcBorders>
          </w:tcPr>
          <w:p w14:paraId="2ADAEEC7" w14:textId="0CDB10CF"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2C0710E6" w14:textId="4B209A5C"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r w:rsidR="009F39A2" w14:paraId="03465A0C" w14:textId="77777777" w:rsidTr="00284D7F">
        <w:tc>
          <w:tcPr>
            <w:tcW w:w="2337" w:type="dxa"/>
          </w:tcPr>
          <w:p w14:paraId="39BC50B8" w14:textId="5A465CF1"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7" w:type="dxa"/>
            <w:tcBorders>
              <w:right w:val="single" w:sz="4" w:space="0" w:color="auto"/>
            </w:tcBorders>
          </w:tcPr>
          <w:p w14:paraId="087167A2" w14:textId="586871A0"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Borders>
              <w:left w:val="single" w:sz="4" w:space="0" w:color="auto"/>
            </w:tcBorders>
          </w:tcPr>
          <w:p w14:paraId="01A15B97" w14:textId="39DBEC6E"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26436A00" w14:textId="450A019E"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r w:rsidR="009F39A2" w14:paraId="4B3B83FF" w14:textId="77777777" w:rsidTr="00284D7F">
        <w:tc>
          <w:tcPr>
            <w:tcW w:w="2337" w:type="dxa"/>
          </w:tcPr>
          <w:p w14:paraId="3CF92762" w14:textId="56072AE8"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7" w:type="dxa"/>
            <w:tcBorders>
              <w:right w:val="single" w:sz="4" w:space="0" w:color="auto"/>
            </w:tcBorders>
          </w:tcPr>
          <w:p w14:paraId="3D68B275" w14:textId="6C05FB18"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Borders>
              <w:left w:val="single" w:sz="4" w:space="0" w:color="auto"/>
            </w:tcBorders>
          </w:tcPr>
          <w:p w14:paraId="74930F1D" w14:textId="3C7EA860"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48B7B8DB" w14:textId="620E5100" w:rsidR="009F39A2" w:rsidRPr="00284D7F" w:rsidRDefault="00284D7F" w:rsidP="00284D7F">
            <w:pPr>
              <w:spacing w:after="12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r w:rsidR="009F39A2" w14:paraId="307999C3" w14:textId="77777777" w:rsidTr="00284D7F">
        <w:tc>
          <w:tcPr>
            <w:tcW w:w="2337" w:type="dxa"/>
          </w:tcPr>
          <w:p w14:paraId="4543B0B1" w14:textId="77777777" w:rsidR="009F39A2" w:rsidRDefault="009F39A2" w:rsidP="009F39A2">
            <w:pPr>
              <w:spacing w:after="120"/>
              <w:rPr>
                <w:rFonts w:ascii="Calibri" w:hAnsi="Calibri"/>
                <w:sz w:val="24"/>
                <w:szCs w:val="24"/>
                <w:u w:val="single"/>
              </w:rPr>
            </w:pPr>
          </w:p>
        </w:tc>
        <w:tc>
          <w:tcPr>
            <w:tcW w:w="2337" w:type="dxa"/>
            <w:tcBorders>
              <w:right w:val="single" w:sz="4" w:space="0" w:color="auto"/>
            </w:tcBorders>
          </w:tcPr>
          <w:p w14:paraId="50DE5516" w14:textId="77777777" w:rsidR="009F39A2" w:rsidRDefault="009F39A2" w:rsidP="009F39A2">
            <w:pPr>
              <w:spacing w:after="120"/>
              <w:rPr>
                <w:rFonts w:ascii="Calibri" w:hAnsi="Calibri"/>
                <w:sz w:val="24"/>
                <w:szCs w:val="24"/>
                <w:u w:val="single"/>
              </w:rPr>
            </w:pPr>
          </w:p>
        </w:tc>
        <w:tc>
          <w:tcPr>
            <w:tcW w:w="2338" w:type="dxa"/>
            <w:tcBorders>
              <w:left w:val="single" w:sz="4" w:space="0" w:color="auto"/>
            </w:tcBorders>
          </w:tcPr>
          <w:p w14:paraId="7C72FE36" w14:textId="65EA8BB7"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628F59EC" w14:textId="71FEC637"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r w:rsidR="009F39A2" w14:paraId="368C01BB" w14:textId="77777777" w:rsidTr="00284D7F">
        <w:tc>
          <w:tcPr>
            <w:tcW w:w="2337" w:type="dxa"/>
          </w:tcPr>
          <w:p w14:paraId="5ACEDAF5" w14:textId="77777777" w:rsidR="009F39A2" w:rsidRDefault="009F39A2" w:rsidP="009F39A2">
            <w:pPr>
              <w:spacing w:after="120"/>
              <w:rPr>
                <w:rFonts w:ascii="Calibri" w:hAnsi="Calibri"/>
                <w:sz w:val="24"/>
                <w:szCs w:val="24"/>
                <w:u w:val="single"/>
              </w:rPr>
            </w:pPr>
          </w:p>
        </w:tc>
        <w:tc>
          <w:tcPr>
            <w:tcW w:w="2337" w:type="dxa"/>
            <w:tcBorders>
              <w:right w:val="single" w:sz="4" w:space="0" w:color="auto"/>
            </w:tcBorders>
          </w:tcPr>
          <w:p w14:paraId="4CB2C5C4" w14:textId="77777777" w:rsidR="009F39A2" w:rsidRDefault="009F39A2" w:rsidP="009F39A2">
            <w:pPr>
              <w:spacing w:after="120"/>
              <w:rPr>
                <w:rFonts w:ascii="Calibri" w:hAnsi="Calibri"/>
                <w:sz w:val="24"/>
                <w:szCs w:val="24"/>
                <w:u w:val="single"/>
              </w:rPr>
            </w:pPr>
          </w:p>
        </w:tc>
        <w:tc>
          <w:tcPr>
            <w:tcW w:w="2338" w:type="dxa"/>
            <w:tcBorders>
              <w:left w:val="single" w:sz="4" w:space="0" w:color="auto"/>
            </w:tcBorders>
          </w:tcPr>
          <w:p w14:paraId="0159C51A" w14:textId="4D1AEFC0"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6BEB2233" w14:textId="1D6C7C55"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r w:rsidR="009F39A2" w14:paraId="33FF1692" w14:textId="77777777" w:rsidTr="00284D7F">
        <w:tc>
          <w:tcPr>
            <w:tcW w:w="2337" w:type="dxa"/>
          </w:tcPr>
          <w:p w14:paraId="1D81D673" w14:textId="77777777" w:rsidR="009F39A2" w:rsidRDefault="009F39A2" w:rsidP="009F39A2">
            <w:pPr>
              <w:spacing w:after="120"/>
              <w:rPr>
                <w:rFonts w:ascii="Calibri" w:hAnsi="Calibri"/>
                <w:sz w:val="24"/>
                <w:szCs w:val="24"/>
                <w:u w:val="single"/>
              </w:rPr>
            </w:pPr>
          </w:p>
        </w:tc>
        <w:tc>
          <w:tcPr>
            <w:tcW w:w="2337" w:type="dxa"/>
            <w:tcBorders>
              <w:right w:val="single" w:sz="4" w:space="0" w:color="auto"/>
            </w:tcBorders>
          </w:tcPr>
          <w:p w14:paraId="190CCB14" w14:textId="77777777" w:rsidR="009F39A2" w:rsidRDefault="009F39A2" w:rsidP="009F39A2">
            <w:pPr>
              <w:spacing w:after="120"/>
              <w:rPr>
                <w:rFonts w:ascii="Calibri" w:hAnsi="Calibri"/>
                <w:sz w:val="24"/>
                <w:szCs w:val="24"/>
                <w:u w:val="single"/>
              </w:rPr>
            </w:pPr>
          </w:p>
        </w:tc>
        <w:tc>
          <w:tcPr>
            <w:tcW w:w="2338" w:type="dxa"/>
            <w:tcBorders>
              <w:left w:val="single" w:sz="4" w:space="0" w:color="auto"/>
            </w:tcBorders>
          </w:tcPr>
          <w:p w14:paraId="1AD774D1" w14:textId="14FFB882"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56A93264" w14:textId="31560C19"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r w:rsidR="009F39A2" w14:paraId="108BC3F9" w14:textId="77777777" w:rsidTr="00284D7F">
        <w:tc>
          <w:tcPr>
            <w:tcW w:w="2337" w:type="dxa"/>
          </w:tcPr>
          <w:p w14:paraId="5C38D5D6" w14:textId="77777777" w:rsidR="009F39A2" w:rsidRDefault="009F39A2" w:rsidP="009F39A2">
            <w:pPr>
              <w:spacing w:after="120"/>
              <w:rPr>
                <w:rFonts w:ascii="Calibri" w:hAnsi="Calibri"/>
                <w:sz w:val="24"/>
                <w:szCs w:val="24"/>
                <w:u w:val="single"/>
              </w:rPr>
            </w:pPr>
          </w:p>
        </w:tc>
        <w:tc>
          <w:tcPr>
            <w:tcW w:w="2337" w:type="dxa"/>
            <w:tcBorders>
              <w:right w:val="single" w:sz="4" w:space="0" w:color="auto"/>
            </w:tcBorders>
          </w:tcPr>
          <w:p w14:paraId="0B706AA2" w14:textId="77777777" w:rsidR="009F39A2" w:rsidRDefault="009F39A2" w:rsidP="009F39A2">
            <w:pPr>
              <w:spacing w:after="120"/>
              <w:rPr>
                <w:rFonts w:ascii="Calibri" w:hAnsi="Calibri"/>
                <w:sz w:val="24"/>
                <w:szCs w:val="24"/>
                <w:u w:val="single"/>
              </w:rPr>
            </w:pPr>
          </w:p>
        </w:tc>
        <w:tc>
          <w:tcPr>
            <w:tcW w:w="2338" w:type="dxa"/>
            <w:tcBorders>
              <w:left w:val="single" w:sz="4" w:space="0" w:color="auto"/>
            </w:tcBorders>
          </w:tcPr>
          <w:p w14:paraId="72B76DF0" w14:textId="5D407AF0"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c>
          <w:tcPr>
            <w:tcW w:w="2338" w:type="dxa"/>
          </w:tcPr>
          <w:p w14:paraId="02018D06" w14:textId="0DB933AA" w:rsidR="009F39A2" w:rsidRPr="00284D7F" w:rsidRDefault="00284D7F" w:rsidP="00284D7F">
            <w:pPr>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tc>
      </w:tr>
    </w:tbl>
    <w:p w14:paraId="48BC3B1F" w14:textId="77777777" w:rsidR="009F39A2" w:rsidRPr="00341E9A" w:rsidRDefault="009F39A2" w:rsidP="009F39A2">
      <w:pPr>
        <w:ind w:left="648" w:hanging="648"/>
        <w:rPr>
          <w:rFonts w:ascii="Calibri" w:hAnsi="Calibri"/>
          <w:sz w:val="24"/>
          <w:szCs w:val="24"/>
        </w:rPr>
      </w:pPr>
      <w:r w:rsidRPr="00341E9A">
        <w:rPr>
          <w:rFonts w:ascii="Calibri" w:hAnsi="Calibri"/>
          <w:sz w:val="24"/>
          <w:szCs w:val="24"/>
        </w:rPr>
        <w:t>2.  a.  Describe the spiritual condition of Israel (northern kingdom).</w:t>
      </w:r>
    </w:p>
    <w:p w14:paraId="585A92A9"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A2C53F1" w14:textId="2A7E8CEB" w:rsidR="009F39A2" w:rsidRPr="00341E9A" w:rsidRDefault="00284D7F" w:rsidP="009F39A2">
      <w:pPr>
        <w:ind w:left="691" w:hanging="331"/>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60288" behindDoc="0" locked="0" layoutInCell="1" allowOverlap="1" wp14:anchorId="0F8A9F1E" wp14:editId="15454444">
                <wp:simplePos x="0" y="0"/>
                <wp:positionH relativeFrom="column">
                  <wp:posOffset>3291840</wp:posOffset>
                </wp:positionH>
                <wp:positionV relativeFrom="paragraph">
                  <wp:posOffset>139700</wp:posOffset>
                </wp:positionV>
                <wp:extent cx="3034665" cy="2302510"/>
                <wp:effectExtent l="0" t="0" r="13335" b="22225"/>
                <wp:wrapSquare wrapText="bothSides"/>
                <wp:docPr id="384507600" name="Text Box 1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2302510"/>
                        </a:xfrm>
                        <a:prstGeom prst="rect">
                          <a:avLst/>
                        </a:prstGeom>
                        <a:solidFill>
                          <a:srgbClr val="FFFFFF"/>
                        </a:solidFill>
                        <a:ln w="9525">
                          <a:solidFill>
                            <a:srgbClr val="000000"/>
                          </a:solidFill>
                          <a:miter lim="800000"/>
                          <a:headEnd/>
                          <a:tailEnd/>
                        </a:ln>
                      </wps:spPr>
                      <wps:txbx>
                        <w:txbxContent>
                          <w:p w14:paraId="2E950027" w14:textId="77777777" w:rsidR="009F39A2" w:rsidRPr="00135D7F" w:rsidRDefault="009F39A2" w:rsidP="009F39A2">
                            <w:pPr>
                              <w:jc w:val="both"/>
                              <w:rPr>
                                <w:rFonts w:ascii="Calibri" w:hAnsi="Calibri" w:cs="Calibri"/>
                                <w:sz w:val="24"/>
                                <w:szCs w:val="24"/>
                              </w:rPr>
                            </w:pPr>
                            <w:r w:rsidRPr="00135D7F">
                              <w:rPr>
                                <w:rFonts w:ascii="Calibri" w:hAnsi="Calibri" w:cs="Calibri"/>
                                <w:sz w:val="24"/>
                                <w:szCs w:val="24"/>
                              </w:rPr>
                              <w:t>Second Kings tells us “The king of Assyria…marched against Samaria and laid siege to it for three years…(He)…captured Samaria and deported the Israelites…The king of Assyria brought people from Babylon…and settled them in the towns of Samaria” (17:5-6, 24)</w:t>
                            </w:r>
                            <w:r>
                              <w:rPr>
                                <w:rFonts w:ascii="Calibri" w:hAnsi="Calibri" w:cs="Calibri"/>
                                <w:sz w:val="24"/>
                                <w:szCs w:val="24"/>
                              </w:rPr>
                              <w:t>.</w:t>
                            </w:r>
                            <w:r w:rsidRPr="00135D7F">
                              <w:rPr>
                                <w:rFonts w:ascii="Calibri" w:hAnsi="Calibri" w:cs="Calibri"/>
                                <w:sz w:val="24"/>
                                <w:szCs w:val="24"/>
                              </w:rPr>
                              <w:t xml:space="preserve"> Archeologists discovered an inscription from </w:t>
                            </w:r>
                            <w:r>
                              <w:rPr>
                                <w:rFonts w:ascii="Calibri" w:hAnsi="Calibri" w:cs="Calibri"/>
                                <w:sz w:val="24"/>
                                <w:szCs w:val="24"/>
                              </w:rPr>
                              <w:t>K</w:t>
                            </w:r>
                            <w:r w:rsidRPr="00135D7F">
                              <w:rPr>
                                <w:rFonts w:ascii="Calibri" w:hAnsi="Calibri" w:cs="Calibri"/>
                                <w:sz w:val="24"/>
                                <w:szCs w:val="24"/>
                              </w:rPr>
                              <w:t xml:space="preserve">ing </w:t>
                            </w:r>
                            <w:proofErr w:type="spellStart"/>
                            <w:r w:rsidRPr="00135D7F">
                              <w:rPr>
                                <w:rFonts w:ascii="Calibri" w:hAnsi="Calibri" w:cs="Calibri"/>
                                <w:sz w:val="24"/>
                                <w:szCs w:val="24"/>
                              </w:rPr>
                              <w:t>Saragon</w:t>
                            </w:r>
                            <w:proofErr w:type="spellEnd"/>
                            <w:r w:rsidRPr="00135D7F">
                              <w:rPr>
                                <w:rFonts w:ascii="Calibri" w:hAnsi="Calibri" w:cs="Calibri"/>
                                <w:sz w:val="24"/>
                                <w:szCs w:val="24"/>
                              </w:rPr>
                              <w:t xml:space="preserve"> that says, “In my first year I captured Samaria. I took captive 27,290 people. People of other lands, who never paid tribute, I settled in Samaria.” </w:t>
                            </w:r>
                          </w:p>
                          <w:p w14:paraId="2533AE7D" w14:textId="77777777" w:rsidR="009F39A2" w:rsidRPr="00E26F70" w:rsidRDefault="009F39A2" w:rsidP="009F39A2">
                            <w:pPr>
                              <w:jc w:val="right"/>
                              <w:rPr>
                                <w:szCs w:val="20"/>
                              </w:rPr>
                            </w:pPr>
                            <w:r w:rsidRPr="00135D7F">
                              <w:rPr>
                                <w:rFonts w:ascii="Calibri" w:hAnsi="Calibri" w:cs="Calibri"/>
                                <w:sz w:val="20"/>
                                <w:szCs w:val="20"/>
                              </w:rPr>
                              <w:t>2 Kings 17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8A9F1E" id="_x0000_t202" coordsize="21600,21600" o:spt="202" path="m,l,21600r21600,l21600,xe">
                <v:stroke joinstyle="miter"/>
                <v:path gradientshapeok="t" o:connecttype="rect"/>
              </v:shapetype>
              <v:shape id="Text Box 1937" o:spid="_x0000_s1026" type="#_x0000_t202" style="position:absolute;left:0;text-align:left;margin-left:259.2pt;margin-top:11pt;width:238.95pt;height:18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">
                <v:textbox style="mso-fit-shape-to-text:t">
                  <w:txbxContent>
                    <w:p w14:paraId="2E950027" w14:textId="77777777" w:rsidR="009F39A2" w:rsidRPr="00135D7F" w:rsidRDefault="009F39A2" w:rsidP="009F39A2">
                      <w:pPr>
                        <w:jc w:val="both"/>
                        <w:rPr>
                          <w:rFonts w:ascii="Calibri" w:hAnsi="Calibri" w:cs="Calibri"/>
                          <w:sz w:val="24"/>
                          <w:szCs w:val="24"/>
                        </w:rPr>
                      </w:pPr>
                      <w:r w:rsidRPr="00135D7F">
                        <w:rPr>
                          <w:rFonts w:ascii="Calibri" w:hAnsi="Calibri" w:cs="Calibri"/>
                          <w:sz w:val="24"/>
                          <w:szCs w:val="24"/>
                        </w:rPr>
                        <w:t>Second Kings tells us “The king of Assyria…marched against Samaria and laid siege to it for three years…(He)…captured Samaria and deported the Israelites…The king of Assyria brought people from Babylon…and settled them in the towns of Samaria” (17:5-6, 24)</w:t>
                      </w:r>
                      <w:r>
                        <w:rPr>
                          <w:rFonts w:ascii="Calibri" w:hAnsi="Calibri" w:cs="Calibri"/>
                          <w:sz w:val="24"/>
                          <w:szCs w:val="24"/>
                        </w:rPr>
                        <w:t>.</w:t>
                      </w:r>
                      <w:r w:rsidRPr="00135D7F">
                        <w:rPr>
                          <w:rFonts w:ascii="Calibri" w:hAnsi="Calibri" w:cs="Calibri"/>
                          <w:sz w:val="24"/>
                          <w:szCs w:val="24"/>
                        </w:rPr>
                        <w:t xml:space="preserve"> Archeologists discovered an inscription from </w:t>
                      </w:r>
                      <w:r>
                        <w:rPr>
                          <w:rFonts w:ascii="Calibri" w:hAnsi="Calibri" w:cs="Calibri"/>
                          <w:sz w:val="24"/>
                          <w:szCs w:val="24"/>
                        </w:rPr>
                        <w:t>K</w:t>
                      </w:r>
                      <w:r w:rsidRPr="00135D7F">
                        <w:rPr>
                          <w:rFonts w:ascii="Calibri" w:hAnsi="Calibri" w:cs="Calibri"/>
                          <w:sz w:val="24"/>
                          <w:szCs w:val="24"/>
                        </w:rPr>
                        <w:t xml:space="preserve">ing </w:t>
                      </w:r>
                      <w:proofErr w:type="spellStart"/>
                      <w:r w:rsidRPr="00135D7F">
                        <w:rPr>
                          <w:rFonts w:ascii="Calibri" w:hAnsi="Calibri" w:cs="Calibri"/>
                          <w:sz w:val="24"/>
                          <w:szCs w:val="24"/>
                        </w:rPr>
                        <w:t>Saragon</w:t>
                      </w:r>
                      <w:proofErr w:type="spellEnd"/>
                      <w:r w:rsidRPr="00135D7F">
                        <w:rPr>
                          <w:rFonts w:ascii="Calibri" w:hAnsi="Calibri" w:cs="Calibri"/>
                          <w:sz w:val="24"/>
                          <w:szCs w:val="24"/>
                        </w:rPr>
                        <w:t xml:space="preserve"> that says, “In my first year I captured Samaria. I took captive 27,290 people. People of other lands, who never paid tribute, I settled in Samaria.” </w:t>
                      </w:r>
                    </w:p>
                    <w:p w14:paraId="2533AE7D" w14:textId="77777777" w:rsidR="009F39A2" w:rsidRPr="00E26F70" w:rsidRDefault="009F39A2" w:rsidP="009F39A2">
                      <w:pPr>
                        <w:jc w:val="right"/>
                        <w:rPr>
                          <w:szCs w:val="20"/>
                        </w:rPr>
                      </w:pPr>
                      <w:r w:rsidRPr="00135D7F">
                        <w:rPr>
                          <w:rFonts w:ascii="Calibri" w:hAnsi="Calibri" w:cs="Calibri"/>
                          <w:sz w:val="20"/>
                          <w:szCs w:val="20"/>
                        </w:rPr>
                        <w:t>2 Kings 17</w:t>
                      </w:r>
                    </w:p>
                  </w:txbxContent>
                </v:textbox>
                <w10:wrap type="square"/>
              </v:shape>
            </w:pict>
          </mc:Fallback>
        </mc:AlternateContent>
      </w:r>
      <w:r w:rsidR="009F39A2" w:rsidRPr="00341E9A">
        <w:rPr>
          <w:rFonts w:ascii="Calibri" w:hAnsi="Calibri"/>
          <w:sz w:val="24"/>
          <w:szCs w:val="24"/>
        </w:rPr>
        <w:t>b.  How does God describe it in Hosea?</w:t>
      </w:r>
    </w:p>
    <w:p w14:paraId="42A81E11"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A4809A5"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3.  List phrases which speak specifically of the northern kingdom going into captivity.</w:t>
      </w:r>
    </w:p>
    <w:p w14:paraId="6B098BEC"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91E6CC3" w14:textId="77777777" w:rsidR="009F39A2" w:rsidRPr="00341E9A" w:rsidRDefault="009F39A2" w:rsidP="00284D7F">
      <w:pPr>
        <w:ind w:left="630" w:hanging="630"/>
        <w:rPr>
          <w:rFonts w:ascii="Calibri" w:hAnsi="Calibri"/>
          <w:sz w:val="24"/>
          <w:szCs w:val="24"/>
        </w:rPr>
      </w:pPr>
      <w:r w:rsidRPr="00341E9A">
        <w:rPr>
          <w:rFonts w:ascii="Calibri" w:hAnsi="Calibri"/>
          <w:sz w:val="24"/>
          <w:szCs w:val="24"/>
        </w:rPr>
        <w:t>4.  a.  What reasons are given for this captivity in 2 Kings 17?</w:t>
      </w:r>
    </w:p>
    <w:p w14:paraId="496B515D"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49C4E17" w14:textId="77777777" w:rsidR="009F39A2" w:rsidRPr="00341E9A" w:rsidRDefault="009F39A2" w:rsidP="009F39A2">
      <w:pPr>
        <w:ind w:left="691" w:hanging="331"/>
        <w:rPr>
          <w:rFonts w:ascii="Calibri" w:hAnsi="Calibri"/>
          <w:sz w:val="24"/>
          <w:szCs w:val="24"/>
        </w:rPr>
      </w:pPr>
      <w:r w:rsidRPr="00341E9A">
        <w:rPr>
          <w:rFonts w:ascii="Calibri" w:hAnsi="Calibri"/>
          <w:sz w:val="24"/>
          <w:szCs w:val="24"/>
        </w:rPr>
        <w:t>b.  Was Judah guilty of the same sins?  Explain.</w:t>
      </w:r>
    </w:p>
    <w:p w14:paraId="268D8462"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D1A10D2" w14:textId="77777777" w:rsidR="009F39A2" w:rsidRPr="00341E9A" w:rsidRDefault="009F39A2" w:rsidP="009F39A2">
      <w:pPr>
        <w:ind w:left="691" w:hanging="331"/>
        <w:rPr>
          <w:rFonts w:ascii="Calibri" w:hAnsi="Calibri"/>
          <w:sz w:val="24"/>
          <w:szCs w:val="24"/>
        </w:rPr>
      </w:pPr>
    </w:p>
    <w:p w14:paraId="7C0430A9" w14:textId="77777777" w:rsidR="009F39A2" w:rsidRPr="00341E9A" w:rsidRDefault="009F39A2" w:rsidP="009F39A2">
      <w:pPr>
        <w:rPr>
          <w:rFonts w:ascii="Calibri" w:hAnsi="Calibri" w:cs="Calibri"/>
          <w:sz w:val="24"/>
          <w:szCs w:val="24"/>
        </w:rPr>
      </w:pPr>
    </w:p>
    <w:p w14:paraId="47CBC492" w14:textId="77777777" w:rsidR="009F39A2" w:rsidRPr="00341E9A" w:rsidRDefault="009F39A2" w:rsidP="009F39A2">
      <w:pPr>
        <w:rPr>
          <w:rFonts w:ascii="Calibri" w:hAnsi="Calibri" w:cs="Calibri"/>
          <w:b/>
          <w:u w:val="single"/>
        </w:rPr>
      </w:pPr>
      <w:r w:rsidRPr="00341E9A">
        <w:rPr>
          <w:rFonts w:ascii="Calibri" w:hAnsi="Calibri" w:cs="Calibri"/>
          <w:b/>
          <w:u w:val="single"/>
        </w:rPr>
        <w:t xml:space="preserve">DAYS TWO &amp; THREE </w:t>
      </w:r>
    </w:p>
    <w:p w14:paraId="6F40F492" w14:textId="77777777" w:rsidR="009F39A2" w:rsidRPr="00877D67" w:rsidRDefault="009F39A2" w:rsidP="009F39A2">
      <w:pPr>
        <w:keepNext/>
      </w:pPr>
      <w:r w:rsidRPr="009B452A">
        <w:rPr>
          <w:rFonts w:ascii="Calibri" w:hAnsi="Calibri"/>
        </w:rPr>
        <w:t>Read 2 Kings 17 and Hosea 1-3</w:t>
      </w:r>
    </w:p>
    <w:p w14:paraId="29F37595" w14:textId="77777777" w:rsidR="009F39A2" w:rsidRDefault="009F39A2" w:rsidP="009F39A2">
      <w:pPr>
        <w:rPr>
          <w:rFonts w:ascii="Calibri" w:hAnsi="Calibri"/>
          <w:sz w:val="24"/>
          <w:szCs w:val="24"/>
        </w:rPr>
      </w:pPr>
    </w:p>
    <w:p w14:paraId="7BF2A85F" w14:textId="77777777" w:rsidR="009F39A2" w:rsidRPr="00341E9A" w:rsidRDefault="009F39A2" w:rsidP="009F39A2">
      <w:pPr>
        <w:rPr>
          <w:rFonts w:ascii="Calibri" w:hAnsi="Calibri"/>
          <w:sz w:val="24"/>
          <w:szCs w:val="24"/>
        </w:rPr>
      </w:pPr>
      <w:r w:rsidRPr="00341E9A">
        <w:rPr>
          <w:rFonts w:ascii="Calibri" w:hAnsi="Calibri"/>
          <w:sz w:val="24"/>
          <w:szCs w:val="24"/>
        </w:rPr>
        <w:t>1.  Hosea’s children are named…</w:t>
      </w:r>
    </w:p>
    <w:p w14:paraId="27323D26" w14:textId="77777777" w:rsidR="009F39A2" w:rsidRPr="00341E9A" w:rsidRDefault="009F39A2" w:rsidP="009F39A2">
      <w:pPr>
        <w:ind w:left="360"/>
        <w:rPr>
          <w:rFonts w:ascii="Calibri" w:hAnsi="Calibri"/>
          <w:i/>
          <w:sz w:val="24"/>
          <w:szCs w:val="24"/>
        </w:rPr>
      </w:pPr>
      <w:r w:rsidRPr="00341E9A">
        <w:rPr>
          <w:rFonts w:ascii="Calibri" w:hAnsi="Calibri"/>
          <w:i/>
          <w:sz w:val="24"/>
          <w:szCs w:val="24"/>
        </w:rPr>
        <w:t>Jezreel, meaning “God will scatter”</w:t>
      </w:r>
    </w:p>
    <w:p w14:paraId="4D609F5D" w14:textId="77777777" w:rsidR="009F39A2" w:rsidRPr="00341E9A" w:rsidRDefault="009F39A2" w:rsidP="009F39A2">
      <w:pPr>
        <w:ind w:left="360" w:firstLine="360"/>
        <w:rPr>
          <w:rFonts w:ascii="Calibri" w:hAnsi="Calibri"/>
          <w:i/>
          <w:sz w:val="24"/>
          <w:szCs w:val="24"/>
        </w:rPr>
      </w:pPr>
      <w:r w:rsidRPr="00341E9A">
        <w:rPr>
          <w:rFonts w:ascii="Calibri" w:hAnsi="Calibri"/>
          <w:i/>
          <w:sz w:val="24"/>
          <w:szCs w:val="24"/>
        </w:rPr>
        <w:t>Lo-Ruhamah, meaning “hath not obtained mercy”</w:t>
      </w:r>
    </w:p>
    <w:p w14:paraId="0ECE9458" w14:textId="77777777" w:rsidR="009F39A2" w:rsidRPr="00341E9A" w:rsidRDefault="009F39A2" w:rsidP="009F39A2">
      <w:pPr>
        <w:ind w:left="1080" w:firstLine="360"/>
        <w:rPr>
          <w:rFonts w:ascii="Calibri" w:hAnsi="Calibri"/>
          <w:i/>
          <w:sz w:val="24"/>
          <w:szCs w:val="24"/>
        </w:rPr>
      </w:pPr>
      <w:r w:rsidRPr="00341E9A">
        <w:rPr>
          <w:rFonts w:ascii="Calibri" w:hAnsi="Calibri"/>
          <w:i/>
          <w:sz w:val="24"/>
          <w:szCs w:val="24"/>
        </w:rPr>
        <w:t>Lo-Ammi, meaning “not My people”</w:t>
      </w:r>
    </w:p>
    <w:p w14:paraId="261DBA7A" w14:textId="77777777" w:rsidR="009F39A2" w:rsidRPr="00341E9A" w:rsidRDefault="009F39A2" w:rsidP="009F39A2">
      <w:pPr>
        <w:numPr>
          <w:ilvl w:val="0"/>
          <w:numId w:val="1"/>
        </w:numPr>
        <w:rPr>
          <w:rFonts w:ascii="Calibri" w:hAnsi="Calibri"/>
          <w:sz w:val="24"/>
          <w:szCs w:val="24"/>
        </w:rPr>
      </w:pPr>
      <w:r w:rsidRPr="00341E9A">
        <w:rPr>
          <w:rFonts w:ascii="Calibri" w:hAnsi="Calibri"/>
          <w:sz w:val="24"/>
          <w:szCs w:val="24"/>
        </w:rPr>
        <w:t>From these passages, how were these symbolic names fulfilled in 2 Kings 17?  List verses.</w:t>
      </w:r>
    </w:p>
    <w:p w14:paraId="46425FC9" w14:textId="77777777" w:rsidR="00284D7F" w:rsidRPr="00284D7F" w:rsidRDefault="00284D7F" w:rsidP="00284D7F">
      <w:pPr>
        <w:ind w:left="720"/>
        <w:rPr>
          <w:rFonts w:ascii="Calibri" w:hAnsi="Calibri"/>
          <w:color w:val="0000FF"/>
          <w:sz w:val="26"/>
          <w:szCs w:val="26"/>
        </w:rPr>
      </w:pPr>
      <w:r w:rsidRPr="00284D7F">
        <w:rPr>
          <w:rFonts w:ascii="Calibri" w:hAnsi="Calibri"/>
          <w:color w:val="0000FF"/>
          <w:sz w:val="26"/>
          <w:szCs w:val="26"/>
        </w:rPr>
        <w:lastRenderedPageBreak/>
        <w:fldChar w:fldCharType="begin">
          <w:ffData>
            <w:name w:val="Text2"/>
            <w:enabled/>
            <w:calcOnExit w:val="0"/>
            <w:textInput>
              <w:default w:val="Answer here"/>
            </w:textInput>
          </w:ffData>
        </w:fldChar>
      </w:r>
      <w:r w:rsidRPr="00284D7F">
        <w:rPr>
          <w:rFonts w:ascii="Calibri" w:hAnsi="Calibri"/>
          <w:color w:val="0000FF"/>
          <w:sz w:val="26"/>
          <w:szCs w:val="26"/>
        </w:rPr>
        <w:instrText xml:space="preserve"> FORMTEXT </w:instrText>
      </w:r>
      <w:r w:rsidRPr="00284D7F">
        <w:rPr>
          <w:rFonts w:ascii="Calibri" w:hAnsi="Calibri"/>
          <w:color w:val="0000FF"/>
          <w:sz w:val="26"/>
          <w:szCs w:val="26"/>
        </w:rPr>
        <w:fldChar w:fldCharType="separate"/>
      </w:r>
      <w:r w:rsidRPr="00284D7F">
        <w:rPr>
          <w:rFonts w:ascii="Calibri" w:hAnsi="Calibri"/>
          <w:noProof/>
          <w:color w:val="0000FF"/>
          <w:sz w:val="26"/>
          <w:szCs w:val="26"/>
        </w:rPr>
        <w:t>Answer here</w:t>
      </w:r>
      <w:r w:rsidRPr="00284D7F">
        <w:rPr>
          <w:rFonts w:ascii="Calibri" w:hAnsi="Calibri"/>
          <w:color w:val="0000FF"/>
          <w:sz w:val="26"/>
          <w:szCs w:val="26"/>
        </w:rPr>
        <w:fldChar w:fldCharType="end"/>
      </w:r>
    </w:p>
    <w:p w14:paraId="04BA13C9" w14:textId="77777777" w:rsidR="009F39A2" w:rsidRPr="00341E9A" w:rsidRDefault="009F39A2" w:rsidP="009F39A2">
      <w:pPr>
        <w:ind w:left="648" w:hanging="648"/>
        <w:rPr>
          <w:rFonts w:ascii="Calibri" w:hAnsi="Calibri"/>
          <w:sz w:val="24"/>
          <w:szCs w:val="24"/>
        </w:rPr>
      </w:pPr>
      <w:r w:rsidRPr="00341E9A">
        <w:rPr>
          <w:rFonts w:ascii="Calibri" w:hAnsi="Calibri"/>
          <w:sz w:val="24"/>
          <w:szCs w:val="24"/>
        </w:rPr>
        <w:t>2.  a.  How was Hosea’s relationship to Gomer symbolic of God’s love for His people?</w:t>
      </w:r>
    </w:p>
    <w:p w14:paraId="2656988E"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38567D6" w14:textId="77777777" w:rsidR="009F39A2" w:rsidRPr="00341E9A" w:rsidRDefault="009F39A2" w:rsidP="009F39A2">
      <w:pPr>
        <w:ind w:left="691" w:hanging="331"/>
        <w:rPr>
          <w:rFonts w:ascii="Calibri" w:hAnsi="Calibri"/>
          <w:sz w:val="24"/>
          <w:szCs w:val="24"/>
        </w:rPr>
      </w:pPr>
      <w:r w:rsidRPr="00341E9A">
        <w:rPr>
          <w:rFonts w:ascii="Calibri" w:hAnsi="Calibri"/>
          <w:sz w:val="24"/>
          <w:szCs w:val="24"/>
        </w:rPr>
        <w:t>b.  What does Ephesians 5:25-32 say about how our relationship should be with Him?</w:t>
      </w:r>
    </w:p>
    <w:p w14:paraId="12F6E87A"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DC7E7F0" w14:textId="77777777" w:rsidR="009F39A2" w:rsidRPr="00341E9A" w:rsidRDefault="009F39A2" w:rsidP="009F39A2">
      <w:pPr>
        <w:ind w:left="691" w:hanging="331"/>
        <w:rPr>
          <w:rFonts w:ascii="Calibri" w:hAnsi="Calibri"/>
          <w:sz w:val="24"/>
          <w:szCs w:val="24"/>
        </w:rPr>
      </w:pPr>
      <w:r w:rsidRPr="00341E9A">
        <w:rPr>
          <w:rFonts w:ascii="Calibri" w:hAnsi="Calibri"/>
          <w:sz w:val="24"/>
          <w:szCs w:val="24"/>
        </w:rPr>
        <w:t>c.  Give further insight from Revelation 19:7-9.</w:t>
      </w:r>
    </w:p>
    <w:p w14:paraId="3CAC6260"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FD46166" w14:textId="77777777" w:rsidR="009F39A2" w:rsidRPr="00341E9A" w:rsidRDefault="009F39A2" w:rsidP="009F39A2">
      <w:pPr>
        <w:ind w:left="691" w:hanging="331"/>
        <w:rPr>
          <w:rFonts w:ascii="Calibri" w:hAnsi="Calibri"/>
          <w:sz w:val="24"/>
          <w:szCs w:val="24"/>
        </w:rPr>
      </w:pPr>
      <w:r w:rsidRPr="00341E9A">
        <w:rPr>
          <w:rFonts w:ascii="Calibri" w:hAnsi="Calibri"/>
          <w:sz w:val="24"/>
          <w:szCs w:val="24"/>
        </w:rPr>
        <w:t>d.  List the “lovers” in Hosea that marred Israel’s relationship with God.</w:t>
      </w:r>
    </w:p>
    <w:p w14:paraId="5B9FE92A"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8BCE437" w14:textId="77777777" w:rsidR="009F39A2" w:rsidRPr="00341E9A" w:rsidRDefault="009F39A2" w:rsidP="009F39A2">
      <w:pPr>
        <w:ind w:left="691" w:hanging="331"/>
        <w:rPr>
          <w:rFonts w:ascii="Calibri" w:hAnsi="Calibri"/>
          <w:sz w:val="24"/>
          <w:szCs w:val="24"/>
        </w:rPr>
      </w:pPr>
      <w:r w:rsidRPr="00341E9A">
        <w:rPr>
          <w:rFonts w:ascii="Calibri" w:hAnsi="Calibri"/>
          <w:sz w:val="24"/>
          <w:szCs w:val="24"/>
        </w:rPr>
        <w:t>e.  PERSONAL:  What similar things in our lives can mar our relationship with God if we allow it?</w:t>
      </w:r>
    </w:p>
    <w:p w14:paraId="5B3E3D9D"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BF15007"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3.  List judgments Hosea predicted in 2:6-13 and how they were fulfilled in 2 Kings 17.</w:t>
      </w:r>
    </w:p>
    <w:p w14:paraId="3DC7CEE8"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E47CFFD"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4.  How would you compare Hosea 2:14-23 with John 15:1-15 and Galatians 5:22-23?</w:t>
      </w:r>
    </w:p>
    <w:p w14:paraId="5DA1A939"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B631B53"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5.  Give phrases from Hosea that symbolize Christ’s redeeming love for us.</w:t>
      </w:r>
    </w:p>
    <w:p w14:paraId="10DFDACF"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65D3660E" w14:textId="77777777" w:rsidR="009F39A2" w:rsidRPr="00341E9A" w:rsidRDefault="009F39A2" w:rsidP="009F39A2">
      <w:pPr>
        <w:rPr>
          <w:rFonts w:ascii="Calibri" w:hAnsi="Calibri" w:cs="Calibri"/>
          <w:sz w:val="24"/>
          <w:szCs w:val="24"/>
        </w:rPr>
      </w:pPr>
    </w:p>
    <w:p w14:paraId="79FF027F" w14:textId="77777777" w:rsidR="009F39A2" w:rsidRPr="00341E9A" w:rsidRDefault="009F39A2" w:rsidP="009F39A2">
      <w:pPr>
        <w:rPr>
          <w:rFonts w:ascii="Calibri" w:hAnsi="Calibri" w:cs="Calibri"/>
          <w:sz w:val="24"/>
          <w:szCs w:val="24"/>
        </w:rPr>
      </w:pPr>
    </w:p>
    <w:p w14:paraId="470FB30E" w14:textId="77777777" w:rsidR="009F39A2" w:rsidRPr="00341E9A" w:rsidRDefault="009F39A2" w:rsidP="009F39A2">
      <w:pPr>
        <w:rPr>
          <w:rFonts w:ascii="Calibri" w:hAnsi="Calibri" w:cs="Calibri"/>
          <w:sz w:val="24"/>
          <w:szCs w:val="24"/>
        </w:rPr>
      </w:pPr>
      <w:r w:rsidRPr="00341E9A">
        <w:rPr>
          <w:rFonts w:ascii="Calibri" w:hAnsi="Calibri" w:cs="Calibri"/>
          <w:b/>
          <w:u w:val="single"/>
        </w:rPr>
        <w:t>DAY FOUR</w:t>
      </w:r>
    </w:p>
    <w:p w14:paraId="4054EFBC" w14:textId="77777777" w:rsidR="009F39A2" w:rsidRPr="00877D67" w:rsidRDefault="009F39A2" w:rsidP="009F39A2">
      <w:pPr>
        <w:keepNext/>
      </w:pPr>
      <w:r w:rsidRPr="009B452A">
        <w:rPr>
          <w:rFonts w:ascii="Calibri" w:hAnsi="Calibri"/>
        </w:rPr>
        <w:t>Read Hosea 4-10</w:t>
      </w:r>
    </w:p>
    <w:p w14:paraId="157DDC5C" w14:textId="77777777" w:rsidR="009F39A2" w:rsidRDefault="009F39A2" w:rsidP="009F39A2">
      <w:pPr>
        <w:ind w:left="648" w:hanging="648"/>
        <w:rPr>
          <w:rFonts w:ascii="Calibri" w:hAnsi="Calibri"/>
          <w:sz w:val="24"/>
          <w:szCs w:val="24"/>
        </w:rPr>
      </w:pPr>
    </w:p>
    <w:p w14:paraId="187B7FD4" w14:textId="77777777" w:rsidR="009F39A2" w:rsidRPr="00341E9A" w:rsidRDefault="009F39A2" w:rsidP="009F39A2">
      <w:pPr>
        <w:ind w:left="648" w:hanging="648"/>
        <w:rPr>
          <w:rFonts w:ascii="Calibri" w:hAnsi="Calibri"/>
          <w:sz w:val="24"/>
          <w:szCs w:val="24"/>
        </w:rPr>
      </w:pPr>
      <w:r w:rsidRPr="00341E9A">
        <w:rPr>
          <w:rFonts w:ascii="Calibri" w:hAnsi="Calibri"/>
          <w:sz w:val="24"/>
          <w:szCs w:val="24"/>
        </w:rPr>
        <w:t>1.  a.  Underline the words “knowledge,” “truth,” and “understand” in chapters 4-6.  List the phrases containing them.</w:t>
      </w:r>
    </w:p>
    <w:p w14:paraId="59C854C1"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B66D5F9" w14:textId="77777777" w:rsidR="009F39A2" w:rsidRPr="00341E9A" w:rsidRDefault="009F39A2" w:rsidP="009F39A2">
      <w:pPr>
        <w:ind w:left="691" w:hanging="331"/>
        <w:rPr>
          <w:rFonts w:ascii="Calibri" w:hAnsi="Calibri"/>
          <w:sz w:val="24"/>
          <w:szCs w:val="24"/>
        </w:rPr>
      </w:pPr>
      <w:r w:rsidRPr="00341E9A">
        <w:rPr>
          <w:rFonts w:ascii="Calibri" w:hAnsi="Calibri"/>
          <w:sz w:val="24"/>
          <w:szCs w:val="24"/>
        </w:rPr>
        <w:t>b.  How do these phrases apply to our day?</w:t>
      </w:r>
    </w:p>
    <w:p w14:paraId="3C3F9817" w14:textId="77777777" w:rsidR="00284D7F" w:rsidRPr="008B0DE6" w:rsidRDefault="00284D7F" w:rsidP="00284D7F">
      <w:pPr>
        <w:ind w:left="63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9C6E6ED"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2.  Give verses with the phrases that speak of false prophets and priests in Hosea 5.</w:t>
      </w:r>
    </w:p>
    <w:p w14:paraId="6F7523AA"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57CBF70"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3.  To whom did Israel turn in her time of need in Hosea 5 and 7?</w:t>
      </w:r>
    </w:p>
    <w:p w14:paraId="39E52E67"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06177EB3"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4.  Which phrases show God’s unchanging love for Israel in Hosea 6?</w:t>
      </w:r>
    </w:p>
    <w:p w14:paraId="6D9B9DB8"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B9C1CEE" w14:textId="77777777" w:rsidR="009F39A2" w:rsidRPr="00341E9A" w:rsidRDefault="009F39A2" w:rsidP="009F39A2">
      <w:pPr>
        <w:rPr>
          <w:rFonts w:ascii="Calibri" w:hAnsi="Calibri" w:cs="Calibri"/>
          <w:b/>
          <w:u w:val="single"/>
        </w:rPr>
      </w:pPr>
    </w:p>
    <w:p w14:paraId="3F0EAA28" w14:textId="77777777" w:rsidR="009F39A2" w:rsidRPr="00341E9A" w:rsidRDefault="009F39A2" w:rsidP="009F39A2">
      <w:pPr>
        <w:rPr>
          <w:rFonts w:ascii="Calibri" w:hAnsi="Calibri" w:cs="Calibri"/>
          <w:b/>
          <w:u w:val="single"/>
        </w:rPr>
      </w:pPr>
    </w:p>
    <w:p w14:paraId="30A29640" w14:textId="5107A16F" w:rsidR="009F39A2" w:rsidRPr="00341E9A" w:rsidRDefault="009F39A2" w:rsidP="009F39A2">
      <w:pPr>
        <w:rPr>
          <w:rFonts w:ascii="Calibri" w:hAnsi="Calibri" w:cs="Calibri"/>
          <w:sz w:val="24"/>
          <w:szCs w:val="24"/>
        </w:rPr>
      </w:pPr>
      <w:r w:rsidRPr="00341E9A">
        <w:rPr>
          <w:rFonts w:ascii="Calibri" w:hAnsi="Calibri" w:cs="Calibri"/>
          <w:b/>
          <w:u w:val="single"/>
        </w:rPr>
        <w:t>DAY FIVE</w:t>
      </w:r>
      <w:r w:rsidRPr="00341E9A">
        <w:rPr>
          <w:rFonts w:ascii="Calibri" w:hAnsi="Calibri" w:cs="Calibri"/>
          <w:sz w:val="24"/>
          <w:szCs w:val="24"/>
        </w:rPr>
        <w:t xml:space="preserve"> </w:t>
      </w:r>
    </w:p>
    <w:p w14:paraId="686AE74B" w14:textId="144366B9" w:rsidR="009F39A2" w:rsidRPr="00877D67" w:rsidRDefault="009F39A2" w:rsidP="009F39A2">
      <w:pPr>
        <w:keepNext/>
      </w:pPr>
      <w:r w:rsidRPr="009B452A">
        <w:rPr>
          <w:rFonts w:ascii="Calibri" w:hAnsi="Calibri"/>
        </w:rPr>
        <w:t>Read Hosea 11-14</w:t>
      </w:r>
    </w:p>
    <w:p w14:paraId="6838247A" w14:textId="69089B6E" w:rsidR="009F39A2" w:rsidRDefault="009F39A2" w:rsidP="009F39A2">
      <w:pPr>
        <w:ind w:left="331" w:hanging="331"/>
        <w:rPr>
          <w:rFonts w:ascii="Calibri" w:hAnsi="Calibri"/>
          <w:sz w:val="24"/>
          <w:szCs w:val="24"/>
        </w:rPr>
      </w:pPr>
    </w:p>
    <w:p w14:paraId="4CDC3C4E" w14:textId="6A613CC4" w:rsidR="009F39A2" w:rsidRPr="00341E9A" w:rsidRDefault="009F39A2" w:rsidP="009F39A2">
      <w:pPr>
        <w:ind w:left="331" w:hanging="331"/>
        <w:rPr>
          <w:rFonts w:ascii="Calibri" w:hAnsi="Calibri"/>
          <w:sz w:val="24"/>
          <w:szCs w:val="24"/>
        </w:rPr>
      </w:pPr>
      <w:r w:rsidRPr="00341E9A">
        <w:rPr>
          <w:rFonts w:ascii="Calibri" w:hAnsi="Calibri"/>
          <w:sz w:val="24"/>
          <w:szCs w:val="24"/>
        </w:rPr>
        <w:t>1.  Comparing Matthew 2:13-15, to whom may Hosea 11:1 refer?</w:t>
      </w:r>
    </w:p>
    <w:p w14:paraId="5177DBF2" w14:textId="2CC901A2" w:rsidR="00284D7F" w:rsidRPr="008B0DE6" w:rsidRDefault="00284D7F" w:rsidP="00284D7F">
      <w:pPr>
        <w:ind w:left="360"/>
        <w:rPr>
          <w:rFonts w:ascii="Calibri" w:hAnsi="Calibri"/>
          <w:color w:val="0000FF"/>
          <w:sz w:val="26"/>
          <w:szCs w:val="26"/>
        </w:rPr>
      </w:pPr>
      <w:r>
        <w:rPr>
          <w:rFonts w:ascii="Calibri" w:hAnsi="Calibri"/>
          <w:noProof/>
          <w:sz w:val="24"/>
          <w:szCs w:val="24"/>
        </w:rPr>
        <w:lastRenderedPageBreak/>
        <mc:AlternateContent>
          <mc:Choice Requires="wps">
            <w:drawing>
              <wp:anchor distT="0" distB="0" distL="114300" distR="114300" simplePos="0" relativeHeight="251661312" behindDoc="0" locked="0" layoutInCell="1" allowOverlap="1" wp14:anchorId="2C505AE8" wp14:editId="6604C40B">
                <wp:simplePos x="0" y="0"/>
                <wp:positionH relativeFrom="column">
                  <wp:posOffset>3312160</wp:posOffset>
                </wp:positionH>
                <wp:positionV relativeFrom="paragraph">
                  <wp:posOffset>1270</wp:posOffset>
                </wp:positionV>
                <wp:extent cx="3034665" cy="2116455"/>
                <wp:effectExtent l="0" t="0" r="13335" b="13335"/>
                <wp:wrapSquare wrapText="bothSides"/>
                <wp:docPr id="768630694" name="Text Box 1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4665" cy="2116455"/>
                        </a:xfrm>
                        <a:prstGeom prst="rect">
                          <a:avLst/>
                        </a:prstGeom>
                        <a:solidFill>
                          <a:srgbClr val="FFFFFF"/>
                        </a:solidFill>
                        <a:ln w="9525">
                          <a:solidFill>
                            <a:srgbClr val="000000"/>
                          </a:solidFill>
                          <a:miter lim="800000"/>
                          <a:headEnd/>
                          <a:tailEnd/>
                        </a:ln>
                      </wps:spPr>
                      <wps:txbx>
                        <w:txbxContent>
                          <w:p w14:paraId="50675995" w14:textId="77777777" w:rsidR="009F39A2" w:rsidRPr="00590996" w:rsidRDefault="009F39A2" w:rsidP="009F39A2">
                            <w:pPr>
                              <w:jc w:val="both"/>
                              <w:rPr>
                                <w:rFonts w:ascii="Calibri" w:eastAsia="Calibri" w:hAnsi="Calibri" w:cs="Calibri"/>
                                <w:sz w:val="24"/>
                                <w:szCs w:val="24"/>
                              </w:rPr>
                            </w:pPr>
                            <w:r w:rsidRPr="00590996">
                              <w:rPr>
                                <w:rFonts w:ascii="Calibri" w:eastAsia="Calibri" w:hAnsi="Calibri" w:cs="Calibri"/>
                                <w:sz w:val="24"/>
                                <w:szCs w:val="24"/>
                              </w:rPr>
                              <w:t xml:space="preserve">Israel's diplomacy based on lies and their secret agreements between Assyria and Egypt </w:t>
                            </w:r>
                            <w:proofErr w:type="gramStart"/>
                            <w:r w:rsidRPr="00590996">
                              <w:rPr>
                                <w:rFonts w:ascii="Calibri" w:eastAsia="Calibri" w:hAnsi="Calibri" w:cs="Calibri"/>
                                <w:sz w:val="24"/>
                                <w:szCs w:val="24"/>
                              </w:rPr>
                              <w:t>in an attempt to</w:t>
                            </w:r>
                            <w:proofErr w:type="gramEnd"/>
                            <w:r w:rsidRPr="00590996">
                              <w:rPr>
                                <w:rFonts w:ascii="Calibri" w:eastAsia="Calibri" w:hAnsi="Calibri" w:cs="Calibri"/>
                                <w:sz w:val="24"/>
                                <w:szCs w:val="24"/>
                              </w:rPr>
                              <w:t xml:space="preserve"> play them against each other would bring disastrous results (Hosea 12:4)</w:t>
                            </w:r>
                            <w:r>
                              <w:rPr>
                                <w:rFonts w:ascii="Calibri" w:eastAsia="Calibri" w:hAnsi="Calibri" w:cs="Calibri"/>
                                <w:sz w:val="24"/>
                                <w:szCs w:val="24"/>
                              </w:rPr>
                              <w:t>.</w:t>
                            </w:r>
                            <w:r w:rsidRPr="00590996">
                              <w:rPr>
                                <w:rFonts w:ascii="Calibri" w:eastAsia="Calibri" w:hAnsi="Calibri" w:cs="Calibri"/>
                                <w:sz w:val="24"/>
                                <w:szCs w:val="24"/>
                              </w:rPr>
                              <w:t xml:space="preserve"> In Hosea's time, Bethel was the most important royal sanctuary in the northern kingdom. Sadly, it was also the very center of their idol worship. This was the place where their father Jacob had dedicated his life to God. </w:t>
                            </w:r>
                          </w:p>
                          <w:p w14:paraId="27E48C1C" w14:textId="77777777" w:rsidR="009F39A2" w:rsidRPr="00E26F70" w:rsidRDefault="009F39A2" w:rsidP="009F39A2">
                            <w:pPr>
                              <w:jc w:val="right"/>
                              <w:rPr>
                                <w:szCs w:val="20"/>
                              </w:rPr>
                            </w:pPr>
                            <w:r>
                              <w:rPr>
                                <w:rFonts w:ascii="Calibri" w:hAnsi="Calibri" w:cs="Calibri"/>
                                <w:sz w:val="20"/>
                                <w:szCs w:val="20"/>
                              </w:rPr>
                              <w:t>Hosea 12:2</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505AE8" id="Text Box 1938" o:spid="_x0000_s1027" type="#_x0000_t202" style="position:absolute;left:0;text-align:left;margin-left:260.8pt;margin-top:.1pt;width:238.95pt;height:1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">
                <v:textbox style="mso-fit-shape-to-text:t">
                  <w:txbxContent>
                    <w:p w14:paraId="50675995" w14:textId="77777777" w:rsidR="009F39A2" w:rsidRPr="00590996" w:rsidRDefault="009F39A2" w:rsidP="009F39A2">
                      <w:pPr>
                        <w:jc w:val="both"/>
                        <w:rPr>
                          <w:rFonts w:ascii="Calibri" w:eastAsia="Calibri" w:hAnsi="Calibri" w:cs="Calibri"/>
                          <w:sz w:val="24"/>
                          <w:szCs w:val="24"/>
                        </w:rPr>
                      </w:pPr>
                      <w:r w:rsidRPr="00590996">
                        <w:rPr>
                          <w:rFonts w:ascii="Calibri" w:eastAsia="Calibri" w:hAnsi="Calibri" w:cs="Calibri"/>
                          <w:sz w:val="24"/>
                          <w:szCs w:val="24"/>
                        </w:rPr>
                        <w:t xml:space="preserve">Israel's diplomacy based on lies and their secret agreements between Assyria and Egypt </w:t>
                      </w:r>
                      <w:proofErr w:type="gramStart"/>
                      <w:r w:rsidRPr="00590996">
                        <w:rPr>
                          <w:rFonts w:ascii="Calibri" w:eastAsia="Calibri" w:hAnsi="Calibri" w:cs="Calibri"/>
                          <w:sz w:val="24"/>
                          <w:szCs w:val="24"/>
                        </w:rPr>
                        <w:t>in an attempt to</w:t>
                      </w:r>
                      <w:proofErr w:type="gramEnd"/>
                      <w:r w:rsidRPr="00590996">
                        <w:rPr>
                          <w:rFonts w:ascii="Calibri" w:eastAsia="Calibri" w:hAnsi="Calibri" w:cs="Calibri"/>
                          <w:sz w:val="24"/>
                          <w:szCs w:val="24"/>
                        </w:rPr>
                        <w:t xml:space="preserve"> play them against each other would bring disastrous results (Hosea 12:4)</w:t>
                      </w:r>
                      <w:r>
                        <w:rPr>
                          <w:rFonts w:ascii="Calibri" w:eastAsia="Calibri" w:hAnsi="Calibri" w:cs="Calibri"/>
                          <w:sz w:val="24"/>
                          <w:szCs w:val="24"/>
                        </w:rPr>
                        <w:t>.</w:t>
                      </w:r>
                      <w:r w:rsidRPr="00590996">
                        <w:rPr>
                          <w:rFonts w:ascii="Calibri" w:eastAsia="Calibri" w:hAnsi="Calibri" w:cs="Calibri"/>
                          <w:sz w:val="24"/>
                          <w:szCs w:val="24"/>
                        </w:rPr>
                        <w:t xml:space="preserve"> In Hosea's time, Bethel was the most important royal sanctuary in the northern kingdom. Sadly, it was also the very center of their idol worship. This was the place where their father Jacob had dedicated his life to God. </w:t>
                      </w:r>
                    </w:p>
                    <w:p w14:paraId="27E48C1C" w14:textId="77777777" w:rsidR="009F39A2" w:rsidRPr="00E26F70" w:rsidRDefault="009F39A2" w:rsidP="009F39A2">
                      <w:pPr>
                        <w:jc w:val="right"/>
                        <w:rPr>
                          <w:szCs w:val="20"/>
                        </w:rPr>
                      </w:pPr>
                      <w:r>
                        <w:rPr>
                          <w:rFonts w:ascii="Calibri" w:hAnsi="Calibri" w:cs="Calibri"/>
                          <w:sz w:val="20"/>
                          <w:szCs w:val="20"/>
                        </w:rPr>
                        <w:t>Hosea 12:2</w:t>
                      </w:r>
                    </w:p>
                  </w:txbxContent>
                </v:textbox>
                <w10:wrap type="square"/>
              </v:shape>
            </w:pict>
          </mc:Fallback>
        </mc:AlternateContent>
      </w: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4B0C016E"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2.  What did Ephraim (another name for Israel) not know in Hosea 11?</w:t>
      </w:r>
    </w:p>
    <w:p w14:paraId="0412AAE0"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2219F511"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 xml:space="preserve">3.  List phrases reaffirming God’s love in these chapters. </w:t>
      </w:r>
    </w:p>
    <w:p w14:paraId="363681D9"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732AF362"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4.  CHALLENGE QUESTION:  Give any background from your previous Bible knowledge of Jacob that is alluded to in chapter 12.</w:t>
      </w:r>
    </w:p>
    <w:p w14:paraId="6999CE5E"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322A53EF"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5.  Which verse of utmost importance in Hosea 13 could you compare with Acts 4:12?</w:t>
      </w:r>
    </w:p>
    <w:p w14:paraId="571DF48A"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5A562FB8" w14:textId="77777777" w:rsidR="009F39A2" w:rsidRPr="00341E9A" w:rsidRDefault="009F39A2" w:rsidP="009F39A2">
      <w:pPr>
        <w:ind w:left="331" w:hanging="331"/>
        <w:rPr>
          <w:rFonts w:ascii="Calibri" w:hAnsi="Calibri"/>
          <w:sz w:val="24"/>
          <w:szCs w:val="24"/>
        </w:rPr>
      </w:pPr>
      <w:r w:rsidRPr="00341E9A">
        <w:rPr>
          <w:rFonts w:ascii="Calibri" w:hAnsi="Calibri"/>
          <w:sz w:val="24"/>
          <w:szCs w:val="24"/>
        </w:rPr>
        <w:t xml:space="preserve">6.  List phrases in Hosea 14 that give hope to a </w:t>
      </w:r>
      <w:proofErr w:type="gramStart"/>
      <w:r w:rsidRPr="00341E9A">
        <w:rPr>
          <w:rFonts w:ascii="Calibri" w:hAnsi="Calibri"/>
          <w:sz w:val="24"/>
          <w:szCs w:val="24"/>
        </w:rPr>
        <w:t>backslider?</w:t>
      </w:r>
      <w:proofErr w:type="gramEnd"/>
    </w:p>
    <w:p w14:paraId="1A4AAA29" w14:textId="77777777" w:rsidR="00284D7F" w:rsidRPr="008B0DE6" w:rsidRDefault="00284D7F" w:rsidP="00284D7F">
      <w:pPr>
        <w:ind w:left="360"/>
        <w:rPr>
          <w:rFonts w:ascii="Calibri" w:hAnsi="Calibri"/>
          <w:color w:val="0000FF"/>
          <w:sz w:val="26"/>
          <w:szCs w:val="26"/>
        </w:rPr>
      </w:pPr>
      <w:r>
        <w:rPr>
          <w:rFonts w:ascii="Calibri" w:hAnsi="Calibri"/>
          <w:color w:val="0000FF"/>
          <w:sz w:val="26"/>
          <w:szCs w:val="26"/>
        </w:rPr>
        <w:fldChar w:fldCharType="begin">
          <w:ffData>
            <w:name w:val="Text2"/>
            <w:enabled/>
            <w:calcOnExit w:val="0"/>
            <w:textInput>
              <w:default w:val="Answer here"/>
            </w:textInput>
          </w:ffData>
        </w:fldChar>
      </w:r>
      <w:r>
        <w:rPr>
          <w:rFonts w:ascii="Calibri" w:hAnsi="Calibri"/>
          <w:color w:val="0000FF"/>
          <w:sz w:val="26"/>
          <w:szCs w:val="26"/>
        </w:rPr>
        <w:instrText xml:space="preserve"> FORMTEXT </w:instrText>
      </w:r>
      <w:r>
        <w:rPr>
          <w:rFonts w:ascii="Calibri" w:hAnsi="Calibri"/>
          <w:color w:val="0000FF"/>
          <w:sz w:val="26"/>
          <w:szCs w:val="26"/>
        </w:rPr>
      </w:r>
      <w:r>
        <w:rPr>
          <w:rFonts w:ascii="Calibri" w:hAnsi="Calibri"/>
          <w:color w:val="0000FF"/>
          <w:sz w:val="26"/>
          <w:szCs w:val="26"/>
        </w:rPr>
        <w:fldChar w:fldCharType="separate"/>
      </w:r>
      <w:r>
        <w:rPr>
          <w:rFonts w:ascii="Calibri" w:hAnsi="Calibri"/>
          <w:noProof/>
          <w:color w:val="0000FF"/>
          <w:sz w:val="26"/>
          <w:szCs w:val="26"/>
        </w:rPr>
        <w:t>Answer here</w:t>
      </w:r>
      <w:r>
        <w:rPr>
          <w:rFonts w:ascii="Calibri" w:hAnsi="Calibri"/>
          <w:color w:val="0000FF"/>
          <w:sz w:val="26"/>
          <w:szCs w:val="26"/>
        </w:rPr>
        <w:fldChar w:fldCharType="end"/>
      </w:r>
    </w:p>
    <w:p w14:paraId="188F8A80" w14:textId="77777777" w:rsidR="003D0F01" w:rsidRDefault="003D0F01" w:rsidP="00284D7F"/>
    <w:sectPr w:rsidR="003D0F01">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99016" w14:textId="77777777" w:rsidR="00000000" w:rsidRDefault="00000000" w:rsidP="00CF7FB6">
    <w:pPr>
      <w:pStyle w:val="Footer"/>
      <w:tabs>
        <w:tab w:val="clear" w:pos="9360"/>
        <w:tab w:val="right" w:pos="9990"/>
      </w:tabs>
      <w:rPr>
        <w:rFonts w:ascii="Calibri" w:hAnsi="Calibri" w:cs="Calibri"/>
        <w:sz w:val="22"/>
        <w:szCs w:val="22"/>
      </w:rPr>
    </w:pPr>
    <w:r>
      <w:rPr>
        <w:rFonts w:ascii="Calibri" w:hAnsi="Calibri" w:cs="Calibri"/>
        <w:sz w:val="22"/>
        <w:szCs w:val="22"/>
      </w:rPr>
      <w:t>Lesson 17</w:t>
    </w:r>
    <w:r>
      <w:rPr>
        <w:rFonts w:ascii="Calibri" w:hAnsi="Calibri" w:cs="Calibri"/>
        <w:sz w:val="22"/>
        <w:szCs w:val="22"/>
      </w:rPr>
      <w:tab/>
    </w:r>
    <w:r>
      <w:rPr>
        <w:rFonts w:ascii="Calibri" w:hAnsi="Calibri" w:cs="Calibri"/>
        <w:sz w:val="22"/>
        <w:szCs w:val="22"/>
      </w:rPr>
      <w:tab/>
    </w:r>
    <w:r>
      <w:rPr>
        <w:rFonts w:ascii="Calibri" w:hAnsi="Calibri" w:cs="Calibri"/>
        <w:sz w:val="22"/>
        <w:szCs w:val="22"/>
      </w:rPr>
      <w:fldChar w:fldCharType="begin"/>
    </w:r>
    <w:r>
      <w:rPr>
        <w:rFonts w:ascii="Calibri" w:hAnsi="Calibri" w:cs="Calibri"/>
        <w:sz w:val="22"/>
        <w:szCs w:val="22"/>
      </w:rPr>
      <w:instrText xml:space="preserve"> PAGE   \* MERGEFORMAT </w:instrText>
    </w:r>
    <w:r>
      <w:rPr>
        <w:rFonts w:ascii="Calibri" w:hAnsi="Calibri" w:cs="Calibri"/>
        <w:sz w:val="22"/>
        <w:szCs w:val="22"/>
      </w:rPr>
      <w:fldChar w:fldCharType="separate"/>
    </w:r>
    <w:r>
      <w:rPr>
        <w:rFonts w:ascii="Calibri" w:hAnsi="Calibri" w:cs="Calibri"/>
        <w:noProof/>
        <w:sz w:val="22"/>
        <w:szCs w:val="22"/>
      </w:rPr>
      <w:t>93</w:t>
    </w:r>
    <w:r>
      <w:rPr>
        <w:rFonts w:ascii="Calibri" w:hAnsi="Calibri" w:cs="Calibri"/>
        <w:sz w:val="22"/>
        <w:szCs w:val="22"/>
      </w:rPr>
      <w:fldChar w:fldCharType="end"/>
    </w:r>
  </w:p>
  <w:p w14:paraId="2D89759C"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42CB2"/>
    <w:multiLevelType w:val="hybridMultilevel"/>
    <w:tmpl w:val="7070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509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3OrhJ/m0cO1Nf1PeRvdZvOVeTDLufxZr4R/llBvN3fmqJZi4VZ2x6uQM4nFix3wpa6W71/zNLXi071WDH1OFIA==" w:salt="hU+wENMqAv0CJz1lhuZi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A2"/>
    <w:rsid w:val="00284D7F"/>
    <w:rsid w:val="002B58EF"/>
    <w:rsid w:val="003D0F01"/>
    <w:rsid w:val="00611B85"/>
    <w:rsid w:val="009F39A2"/>
    <w:rsid w:val="00E838EB"/>
    <w:rsid w:val="00F776F9"/>
    <w:rsid w:val="00FE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FA0A"/>
  <w15:chartTrackingRefBased/>
  <w15:docId w15:val="{EA2EEA14-339E-48AB-9217-FDD8DA3C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9A2"/>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uiPriority w:val="9"/>
    <w:qFormat/>
    <w:rsid w:val="009F39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39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39A2"/>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9F39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39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39A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39A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39A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39A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9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39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39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39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39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39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39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39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39A2"/>
    <w:rPr>
      <w:rFonts w:eastAsiaTheme="majorEastAsia" w:cstheme="majorBidi"/>
      <w:color w:val="272727" w:themeColor="text1" w:themeTint="D8"/>
    </w:rPr>
  </w:style>
  <w:style w:type="paragraph" w:styleId="Title">
    <w:name w:val="Title"/>
    <w:basedOn w:val="Normal"/>
    <w:next w:val="Normal"/>
    <w:link w:val="TitleChar"/>
    <w:uiPriority w:val="10"/>
    <w:qFormat/>
    <w:rsid w:val="009F39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39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39A2"/>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9F39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39A2"/>
    <w:pPr>
      <w:spacing w:before="160"/>
      <w:jc w:val="center"/>
    </w:pPr>
    <w:rPr>
      <w:i/>
      <w:iCs/>
      <w:color w:val="404040" w:themeColor="text1" w:themeTint="BF"/>
    </w:rPr>
  </w:style>
  <w:style w:type="character" w:customStyle="1" w:styleId="QuoteChar">
    <w:name w:val="Quote Char"/>
    <w:basedOn w:val="DefaultParagraphFont"/>
    <w:link w:val="Quote"/>
    <w:uiPriority w:val="29"/>
    <w:rsid w:val="009F39A2"/>
    <w:rPr>
      <w:i/>
      <w:iCs/>
      <w:color w:val="404040" w:themeColor="text1" w:themeTint="BF"/>
    </w:rPr>
  </w:style>
  <w:style w:type="paragraph" w:styleId="ListParagraph">
    <w:name w:val="List Paragraph"/>
    <w:basedOn w:val="Normal"/>
    <w:uiPriority w:val="34"/>
    <w:qFormat/>
    <w:rsid w:val="009F39A2"/>
    <w:pPr>
      <w:ind w:left="720"/>
      <w:contextualSpacing/>
    </w:pPr>
  </w:style>
  <w:style w:type="character" w:styleId="IntenseEmphasis">
    <w:name w:val="Intense Emphasis"/>
    <w:basedOn w:val="DefaultParagraphFont"/>
    <w:uiPriority w:val="21"/>
    <w:qFormat/>
    <w:rsid w:val="009F39A2"/>
    <w:rPr>
      <w:i/>
      <w:iCs/>
      <w:color w:val="0F4761" w:themeColor="accent1" w:themeShade="BF"/>
    </w:rPr>
  </w:style>
  <w:style w:type="paragraph" w:styleId="IntenseQuote">
    <w:name w:val="Intense Quote"/>
    <w:basedOn w:val="Normal"/>
    <w:next w:val="Normal"/>
    <w:link w:val="IntenseQuoteChar"/>
    <w:uiPriority w:val="30"/>
    <w:qFormat/>
    <w:rsid w:val="009F39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39A2"/>
    <w:rPr>
      <w:i/>
      <w:iCs/>
      <w:color w:val="0F4761" w:themeColor="accent1" w:themeShade="BF"/>
    </w:rPr>
  </w:style>
  <w:style w:type="character" w:styleId="IntenseReference">
    <w:name w:val="Intense Reference"/>
    <w:basedOn w:val="DefaultParagraphFont"/>
    <w:uiPriority w:val="32"/>
    <w:qFormat/>
    <w:rsid w:val="009F39A2"/>
    <w:rPr>
      <w:b/>
      <w:bCs/>
      <w:smallCaps/>
      <w:color w:val="0F4761" w:themeColor="accent1" w:themeShade="BF"/>
      <w:spacing w:val="5"/>
    </w:rPr>
  </w:style>
  <w:style w:type="paragraph" w:styleId="Footer">
    <w:name w:val="footer"/>
    <w:basedOn w:val="Normal"/>
    <w:link w:val="FooterChar"/>
    <w:uiPriority w:val="99"/>
    <w:unhideWhenUsed/>
    <w:rsid w:val="009F39A2"/>
    <w:pPr>
      <w:tabs>
        <w:tab w:val="center" w:pos="4680"/>
        <w:tab w:val="right" w:pos="9360"/>
      </w:tabs>
    </w:pPr>
  </w:style>
  <w:style w:type="character" w:customStyle="1" w:styleId="FooterChar">
    <w:name w:val="Footer Char"/>
    <w:basedOn w:val="DefaultParagraphFont"/>
    <w:link w:val="Footer"/>
    <w:uiPriority w:val="99"/>
    <w:rsid w:val="009F39A2"/>
    <w:rPr>
      <w:rFonts w:ascii="Times New Roman" w:eastAsia="Times New Roman" w:hAnsi="Times New Roman" w:cs="Times New Roman"/>
      <w:kern w:val="0"/>
      <w:sz w:val="28"/>
      <w:szCs w:val="28"/>
      <w14:ligatures w14:val="none"/>
    </w:rPr>
  </w:style>
  <w:style w:type="table" w:styleId="TableGrid">
    <w:name w:val="Table Grid"/>
    <w:basedOn w:val="TableNormal"/>
    <w:uiPriority w:val="39"/>
    <w:rsid w:val="009F3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 Baptist</dc:creator>
  <cp:keywords/>
  <dc:description/>
  <cp:lastModifiedBy>First Baptist</cp:lastModifiedBy>
  <cp:revision>2</cp:revision>
  <dcterms:created xsi:type="dcterms:W3CDTF">2024-08-29T18:39:00Z</dcterms:created>
  <dcterms:modified xsi:type="dcterms:W3CDTF">2024-08-29T19:12:00Z</dcterms:modified>
</cp:coreProperties>
</file>